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36E0" w14:textId="77777777" w:rsidR="00350CE5" w:rsidRDefault="00350CE5" w:rsidP="00350CE5">
      <w:pPr>
        <w:widowControl/>
        <w:adjustRightInd w:val="0"/>
        <w:jc w:val="center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ANEXO 1 - FICHA DE INSCRIÇÃO</w:t>
      </w:r>
    </w:p>
    <w:p w14:paraId="30FFEF11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658321C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1 - Identificação</w:t>
      </w:r>
    </w:p>
    <w:p w14:paraId="72B4083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7FAC0AE8" w14:textId="77777777" w:rsidR="00350CE5" w:rsidRDefault="00350CE5" w:rsidP="00350CE5">
      <w:pPr>
        <w:widowControl/>
        <w:autoSpaceDE/>
        <w:autoSpaceDN/>
        <w:rPr>
          <w:rFonts w:ascii="Poppins Light" w:eastAsiaTheme="minorHAnsi" w:hAnsi="Poppins Light" w:cs="Poppins Light"/>
          <w:bCs/>
          <w:color w:val="000000"/>
          <w:lang w:val="pt-BR"/>
        </w:rPr>
        <w:sectPr w:rsidR="00350CE5" w:rsidSect="00350C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1701" w:right="1080" w:bottom="1440" w:left="1080" w:header="568" w:footer="409" w:gutter="0"/>
          <w:cols w:space="720"/>
        </w:sectPr>
      </w:pPr>
    </w:p>
    <w:p w14:paraId="062B59E6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lastRenderedPageBreak/>
        <w:t>Município da Experiência</w:t>
      </w:r>
    </w:p>
    <w:p w14:paraId="48248A8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Gestor(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>a)</w:t>
      </w:r>
    </w:p>
    <w:p w14:paraId="3CE2F27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Nome completo</w:t>
      </w:r>
    </w:p>
    <w:p w14:paraId="697CE3D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spellStart"/>
      <w:r>
        <w:rPr>
          <w:rFonts w:ascii="Poppins Light" w:eastAsiaTheme="minorHAnsi" w:hAnsi="Poppins Light" w:cs="Poppins Light"/>
          <w:bCs/>
          <w:color w:val="000000"/>
          <w:lang w:val="pt-BR"/>
        </w:rPr>
        <w:t>Email</w:t>
      </w:r>
      <w:proofErr w:type="spellEnd"/>
    </w:p>
    <w:p w14:paraId="773DD82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Autor(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>a) principal</w:t>
      </w:r>
    </w:p>
    <w:p w14:paraId="1A99D4E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Nome completo</w:t>
      </w:r>
    </w:p>
    <w:p w14:paraId="1A88F36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CPF</w:t>
      </w:r>
    </w:p>
    <w:p w14:paraId="12EDFE86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spellStart"/>
      <w:r>
        <w:rPr>
          <w:rFonts w:ascii="Poppins Light" w:eastAsiaTheme="minorHAnsi" w:hAnsi="Poppins Light" w:cs="Poppins Light"/>
          <w:bCs/>
          <w:color w:val="000000"/>
          <w:lang w:val="pt-BR"/>
        </w:rPr>
        <w:t>Email</w:t>
      </w:r>
      <w:proofErr w:type="spellEnd"/>
    </w:p>
    <w:p w14:paraId="4F4A2130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Telefone</w:t>
      </w:r>
    </w:p>
    <w:p w14:paraId="69E8055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spellStart"/>
      <w:r>
        <w:rPr>
          <w:rFonts w:ascii="Poppins Light" w:eastAsiaTheme="minorHAnsi" w:hAnsi="Poppins Light" w:cs="Poppins Light"/>
          <w:bCs/>
          <w:color w:val="000000"/>
          <w:lang w:val="pt-BR"/>
        </w:rPr>
        <w:t>Co-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autores</w:t>
      </w:r>
      <w:proofErr w:type="spellEnd"/>
      <w:r>
        <w:rPr>
          <w:rFonts w:ascii="Poppins Light" w:eastAsiaTheme="minorHAnsi" w:hAnsi="Poppins Light" w:cs="Poppins Light"/>
          <w:bCs/>
          <w:color w:val="000000"/>
          <w:lang w:val="pt-BR"/>
        </w:rPr>
        <w:t>(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>as) (máximo 10)</w:t>
      </w:r>
    </w:p>
    <w:p w14:paraId="05224283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Nome completo</w:t>
      </w:r>
    </w:p>
    <w:p w14:paraId="0E5E55E3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Responsável pela apresentação do trabalho</w:t>
      </w:r>
    </w:p>
    <w:p w14:paraId="5411A51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Nome completo</w:t>
      </w:r>
    </w:p>
    <w:p w14:paraId="43F6D246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CPF</w:t>
      </w:r>
    </w:p>
    <w:p w14:paraId="6EED9162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spellStart"/>
      <w:r>
        <w:rPr>
          <w:rFonts w:ascii="Poppins Light" w:eastAsiaTheme="minorHAnsi" w:hAnsi="Poppins Light" w:cs="Poppins Light"/>
          <w:bCs/>
          <w:color w:val="000000"/>
          <w:lang w:val="pt-BR"/>
        </w:rPr>
        <w:t>Email</w:t>
      </w:r>
      <w:proofErr w:type="spellEnd"/>
    </w:p>
    <w:p w14:paraId="2AEF4128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37A36C61" w14:textId="77777777" w:rsidR="00350CE5" w:rsidRDefault="00350CE5" w:rsidP="00350CE5">
      <w:pPr>
        <w:widowControl/>
        <w:autoSpaceDE/>
        <w:autoSpaceDN/>
        <w:rPr>
          <w:rFonts w:ascii="Poppins Light" w:eastAsiaTheme="minorHAnsi" w:hAnsi="Poppins Light" w:cs="Poppins Light"/>
          <w:b/>
          <w:bCs/>
          <w:color w:val="000000"/>
          <w:lang w:val="pt-BR"/>
        </w:rPr>
        <w:sectPr w:rsidR="00350CE5">
          <w:type w:val="continuous"/>
          <w:pgSz w:w="11900" w:h="16850"/>
          <w:pgMar w:top="1440" w:right="1080" w:bottom="1440" w:left="1080" w:header="568" w:footer="409" w:gutter="0"/>
          <w:cols w:space="720"/>
        </w:sectPr>
      </w:pPr>
    </w:p>
    <w:p w14:paraId="13819EB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lastRenderedPageBreak/>
        <w:t>2 – Temáticas</w:t>
      </w:r>
    </w:p>
    <w:p w14:paraId="6EB2349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5982620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GESTÃO E PLANEJAMENTO DO SUS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78FB65F9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CONTROLE SOCIAL E PARTICIPAÇÃO DA COMUNIDADE NA SAÚDE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5F84052E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GESTÃO DO TRABALHO E DA EDUCAÇÃO NA SAÚDE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66C79C23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ATENÇÃO BÁSICA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12BDD02C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MODELO DE ATENÇÃO À SAÚDE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16E7D937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VIGILÂNCIA EM SAÚDE NO MUNICÍPIO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5784D36B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REGULAÇÃO DO SUS NO MUNICÍPIO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1DAF91CE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GESTÃO DA ASSISTÊNCIA FARMACÊUTICA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73794ED2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SAÚDE DIGITAL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0FD1B6F8" w14:textId="77777777" w:rsidR="00350CE5" w:rsidRDefault="00350CE5" w:rsidP="00350CE5">
      <w:pPr>
        <w:pStyle w:val="PargrafodaLista"/>
        <w:widowControl/>
        <w:numPr>
          <w:ilvl w:val="0"/>
          <w:numId w:val="20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SAÚDE MENTAL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</w:p>
    <w:p w14:paraId="7B64F220" w14:textId="77777777" w:rsidR="00350CE5" w:rsidRDefault="00350CE5" w:rsidP="00350CE5">
      <w:pPr>
        <w:pStyle w:val="PargrafodaLista"/>
        <w:widowControl/>
        <w:adjustRightInd w:val="0"/>
        <w:ind w:left="720" w:firstLine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6AA9B201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3 - Descrição da Experiência – Resumo</w:t>
      </w:r>
    </w:p>
    <w:p w14:paraId="0B1EBE4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3576BBE7" w14:textId="77777777" w:rsidR="00350CE5" w:rsidRDefault="00350CE5" w:rsidP="00350CE5">
      <w:pPr>
        <w:pStyle w:val="PargrafodaLista"/>
        <w:widowControl/>
        <w:numPr>
          <w:ilvl w:val="0"/>
          <w:numId w:val="21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Título da experiência (O campo é obrigatório e deve ser preenchido com LETRAS EM CAIXA ALTA e conter até 100 caracteres, considerando os espaços)</w:t>
      </w:r>
    </w:p>
    <w:p w14:paraId="27136E6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Os tópicos a seguir são obrigatórios e possuem campos específicos para preenchimento. Esses campos não devem ser preenchidos com letras em caixa alta. </w:t>
      </w:r>
    </w:p>
    <w:p w14:paraId="2F7F24F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u w:val="single"/>
          <w:lang w:val="pt-BR"/>
        </w:rPr>
        <w:t>Atenção:</w:t>
      </w: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 É necessário observar o número máximo de caracteres de cada campo entre parênteses, incluindo os espaços.</w:t>
      </w:r>
    </w:p>
    <w:p w14:paraId="3BB9A60B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lastRenderedPageBreak/>
        <w:t>Apresentação (máximo de 1500 caracteres)</w:t>
      </w:r>
    </w:p>
    <w:p w14:paraId="5C23C212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Objetivos (máximo de 1000 caracteres)</w:t>
      </w:r>
    </w:p>
    <w:p w14:paraId="62D910B7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Metodologia (máximo de 1500 caracteres)</w:t>
      </w:r>
    </w:p>
    <w:p w14:paraId="3C633710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Resultados (máximo de 1500 caracteres)</w:t>
      </w:r>
    </w:p>
    <w:p w14:paraId="454440F2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Conclusões (máximo de 1250 caracteres)</w:t>
      </w:r>
    </w:p>
    <w:p w14:paraId="667C5F79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Palavras-Chave (máximo de 50 caracteres - realize a separação através de vírgula)</w:t>
      </w:r>
    </w:p>
    <w:p w14:paraId="4C67A3CF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Os tópicos abaixo são </w:t>
      </w: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opcionais</w:t>
      </w: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: </w:t>
      </w:r>
    </w:p>
    <w:p w14:paraId="3F0429E5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Link de vídeo</w:t>
      </w:r>
    </w:p>
    <w:p w14:paraId="1DC80D09" w14:textId="77777777" w:rsidR="00350CE5" w:rsidRDefault="00350CE5" w:rsidP="00350CE5">
      <w:pPr>
        <w:pStyle w:val="PargrafodaLista"/>
        <w:widowControl/>
        <w:numPr>
          <w:ilvl w:val="0"/>
          <w:numId w:val="22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Banner. O arquivo precisa ter 1080px de largura por 1920px de altura (sempre na vertical) no formato JPEG OU PNG. </w:t>
      </w:r>
      <w:r>
        <w:rPr>
          <w:rFonts w:ascii="Poppins Light" w:eastAsiaTheme="minorHAnsi" w:hAnsi="Poppins Light" w:cs="Poppins Light"/>
          <w:b/>
          <w:bCs/>
          <w:color w:val="000000"/>
          <w:u w:val="single"/>
          <w:lang w:val="pt-BR"/>
        </w:rPr>
        <w:t>Atenção</w:t>
      </w:r>
      <w:r>
        <w:rPr>
          <w:rFonts w:ascii="Poppins Light" w:eastAsiaTheme="minorHAnsi" w:hAnsi="Poppins Light" w:cs="Poppins Light"/>
          <w:bCs/>
          <w:color w:val="000000"/>
          <w:lang w:val="pt-BR"/>
        </w:rPr>
        <w:t>: Outro formato não será aceito pelo sistema.</w:t>
      </w:r>
    </w:p>
    <w:p w14:paraId="1EA8D9C1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EB67F8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( )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 Declaro que li o edital e que são verdadeiras as informações prestadas.</w:t>
      </w:r>
    </w:p>
    <w:p w14:paraId="4A4743A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AFAF67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78CE3826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1A4D12D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19D8F13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32AA916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54995F7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1AEFDE1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7F275F2F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47B7793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FA712A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378358C0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4F08D8C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5B731EDB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6A73A01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70D12E60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3ED1688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59862A69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0B15D12B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5F061BFC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086C89B0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6EAD112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396378DB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382030D1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5FD91CD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BCF311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469A8A4E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31B8BB76" w14:textId="77777777" w:rsidR="00350CE5" w:rsidRDefault="00350CE5" w:rsidP="00350CE5">
      <w:pPr>
        <w:widowControl/>
        <w:adjustRightInd w:val="0"/>
        <w:jc w:val="center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lastRenderedPageBreak/>
        <w:t xml:space="preserve">ANEXO 2 </w:t>
      </w:r>
    </w:p>
    <w:p w14:paraId="16FC71A4" w14:textId="77777777" w:rsidR="00350CE5" w:rsidRDefault="00350CE5" w:rsidP="00350CE5">
      <w:pPr>
        <w:widowControl/>
        <w:adjustRightInd w:val="0"/>
        <w:jc w:val="center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 xml:space="preserve"> ORIENTAÇÕES PARA PREENCHIMENTO DO ANEXO 1</w:t>
      </w:r>
    </w:p>
    <w:p w14:paraId="6DA056E6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TÍTULO:</w:t>
      </w:r>
    </w:p>
    <w:p w14:paraId="3B32A9D8" w14:textId="77777777" w:rsidR="00350CE5" w:rsidRDefault="00350CE5" w:rsidP="00350CE5">
      <w:pPr>
        <w:pStyle w:val="PargrafodaLista"/>
        <w:widowControl/>
        <w:numPr>
          <w:ilvl w:val="0"/>
          <w:numId w:val="23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O título é a primeira credencial do trabalho a ser apresentado. Importante que seja claro, conciso e que informe o objeto/tema da experiência. O título poderá conter até 100 caracteres (com espaços).</w:t>
      </w:r>
    </w:p>
    <w:p w14:paraId="21AA99B7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28D7B79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APRESENTAÇÃO:</w:t>
      </w:r>
    </w:p>
    <w:p w14:paraId="76AA8825" w14:textId="77777777" w:rsidR="00350CE5" w:rsidRDefault="00350CE5" w:rsidP="00350CE5">
      <w:pPr>
        <w:pStyle w:val="PargrafodaLista"/>
        <w:widowControl/>
        <w:numPr>
          <w:ilvl w:val="0"/>
          <w:numId w:val="23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Esse item deve conter um breve enunciado sobre a questão/problema que a experiência abordou, a caracterização do mesmo (incluir local, período e população alvo) e a motivação que fez com que fosse abordado no projeto. O texto poderá conter até 1500 caracteres (com espaços).</w:t>
      </w:r>
    </w:p>
    <w:p w14:paraId="0735FC6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3D21237C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OBJETIVOS</w:t>
      </w:r>
      <w:r>
        <w:rPr>
          <w:rFonts w:ascii="Poppins Light" w:eastAsiaTheme="minorHAnsi" w:hAnsi="Poppins Light" w:cs="Poppins Light"/>
          <w:bCs/>
          <w:color w:val="000000"/>
          <w:lang w:val="pt-BR"/>
        </w:rPr>
        <w:t>:</w:t>
      </w:r>
    </w:p>
    <w:p w14:paraId="3B5B0FA2" w14:textId="77777777" w:rsidR="00350CE5" w:rsidRDefault="00350CE5" w:rsidP="00350CE5">
      <w:pPr>
        <w:pStyle w:val="PargrafodaLista"/>
        <w:widowControl/>
        <w:numPr>
          <w:ilvl w:val="0"/>
          <w:numId w:val="23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Objetivo geral: enunciado curto, no infinitivo, que dialoga/responde à questão central do projeto e representa o ponto de partida para todo o planejamento da experiência. Objetivos específicos, se for o caso, devem dialogar com as questões acessórias do projeto, sejam desagregações do objetivo central da experiência ou contribuições potenciais da experiência (por quê?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para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 quê? </w:t>
      </w:r>
      <w:proofErr w:type="gramStart"/>
      <w:r>
        <w:rPr>
          <w:rFonts w:ascii="Poppins Light" w:eastAsiaTheme="minorHAnsi" w:hAnsi="Poppins Light" w:cs="Poppins Light"/>
          <w:bCs/>
          <w:color w:val="000000"/>
          <w:lang w:val="pt-BR"/>
        </w:rPr>
        <w:t>da</w:t>
      </w:r>
      <w:proofErr w:type="gramEnd"/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 pesquisa). Deve conter até 1000 caracteres (com espaços).</w:t>
      </w:r>
    </w:p>
    <w:p w14:paraId="2F738D8C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lang w:val="pt-BR"/>
        </w:rPr>
      </w:pPr>
    </w:p>
    <w:p w14:paraId="7F0A0993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lang w:val="pt-BR"/>
        </w:rPr>
      </w:pPr>
      <w:r>
        <w:rPr>
          <w:rFonts w:ascii="Poppins Light" w:eastAsiaTheme="minorHAnsi" w:hAnsi="Poppins Light" w:cs="Poppins Light"/>
          <w:b/>
          <w:bCs/>
          <w:lang w:val="pt-BR"/>
        </w:rPr>
        <w:t>METODOLOGIA:</w:t>
      </w:r>
    </w:p>
    <w:p w14:paraId="3F1E44D0" w14:textId="77777777" w:rsidR="00350CE5" w:rsidRDefault="00350CE5" w:rsidP="00350CE5">
      <w:pPr>
        <w:pStyle w:val="PargrafodaLista"/>
        <w:widowControl/>
        <w:numPr>
          <w:ilvl w:val="0"/>
          <w:numId w:val="23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Apresenta de forma clara e concisa a estratégia institucional, o desenho e as fontes, instrumentos e recursos utilizados na experiência. Texto com até 1500 caracteres (com espaços).</w:t>
      </w:r>
    </w:p>
    <w:p w14:paraId="0742B582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2539FCD1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RESULTADOS:</w:t>
      </w:r>
    </w:p>
    <w:p w14:paraId="3CA4A76E" w14:textId="77777777" w:rsidR="00350CE5" w:rsidRDefault="00350CE5" w:rsidP="00350CE5">
      <w:pPr>
        <w:pStyle w:val="PargrafodaLista"/>
        <w:widowControl/>
        <w:numPr>
          <w:ilvl w:val="0"/>
          <w:numId w:val="23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Apresenta os principais resultados da experiência. Texto com até 1500 caracteres, com espaço, sem inserir tabelas, gráficos ou gravuras)</w:t>
      </w:r>
    </w:p>
    <w:p w14:paraId="13B80812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161A5D9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CONCLUSÃO:</w:t>
      </w:r>
    </w:p>
    <w:p w14:paraId="0C85A63B" w14:textId="77777777" w:rsidR="00350CE5" w:rsidRDefault="00350CE5" w:rsidP="00350CE5">
      <w:pPr>
        <w:pStyle w:val="PargrafodaLista"/>
        <w:widowControl/>
        <w:numPr>
          <w:ilvl w:val="0"/>
          <w:numId w:val="24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>O texto final deve fazer uma síntese que responda aos objetivos da experiência e recomendações. Texto com até 1250 caracteres, com espaço.</w:t>
      </w:r>
    </w:p>
    <w:p w14:paraId="7E46CB45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</w:p>
    <w:p w14:paraId="7CF10BDA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/>
          <w:bCs/>
          <w:color w:val="000000"/>
          <w:lang w:val="pt-BR"/>
        </w:rPr>
        <w:t>PALAVRAS-CHAVE:</w:t>
      </w:r>
    </w:p>
    <w:p w14:paraId="466098B7" w14:textId="77777777" w:rsidR="00350CE5" w:rsidRDefault="00350CE5" w:rsidP="00350CE5">
      <w:pPr>
        <w:pStyle w:val="PargrafodaLista"/>
        <w:widowControl/>
        <w:numPr>
          <w:ilvl w:val="0"/>
          <w:numId w:val="24"/>
        </w:numPr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  <w:r>
        <w:rPr>
          <w:rFonts w:ascii="Poppins Light" w:eastAsiaTheme="minorHAnsi" w:hAnsi="Poppins Light" w:cs="Poppins Light"/>
          <w:bCs/>
          <w:color w:val="000000"/>
          <w:lang w:val="pt-BR"/>
        </w:rPr>
        <w:t xml:space="preserve">Palavras que representem o tema e teor mais relevantes da experiência. Texto com até 50 caracteres, com espaço. </w:t>
      </w:r>
    </w:p>
    <w:p w14:paraId="02CF7B54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6CBAE6A2" w14:textId="77777777" w:rsidR="00350CE5" w:rsidRDefault="00350CE5" w:rsidP="00350CE5">
      <w:pPr>
        <w:widowControl/>
        <w:adjustRightInd w:val="0"/>
        <w:rPr>
          <w:rFonts w:ascii="Poppins Light" w:eastAsiaTheme="minorHAnsi" w:hAnsi="Poppins Light" w:cs="Poppins Light"/>
          <w:bCs/>
          <w:color w:val="000000"/>
          <w:lang w:val="pt-BR"/>
        </w:rPr>
      </w:pPr>
    </w:p>
    <w:p w14:paraId="592EB9A2" w14:textId="77777777" w:rsidR="00350CE5" w:rsidRDefault="00350CE5" w:rsidP="00350CE5">
      <w:pPr>
        <w:spacing w:after="156"/>
        <w:ind w:left="-5"/>
        <w:jc w:val="center"/>
        <w:rPr>
          <w:rFonts w:ascii="Poppins Light" w:hAnsi="Poppins Light" w:cs="Poppins Light"/>
          <w:b/>
          <w:bCs/>
          <w:lang w:val="pt-BR"/>
        </w:rPr>
      </w:pPr>
    </w:p>
    <w:p w14:paraId="70945217" w14:textId="77777777" w:rsidR="00350CE5" w:rsidRDefault="00350CE5" w:rsidP="00350CE5">
      <w:pPr>
        <w:pStyle w:val="Ttulo2"/>
        <w:ind w:right="8"/>
        <w:jc w:val="center"/>
        <w:rPr>
          <w:rFonts w:ascii="Poppins Light" w:hAnsi="Poppins Light" w:cs="Poppins Light"/>
          <w:color w:val="auto"/>
          <w:sz w:val="22"/>
          <w:szCs w:val="22"/>
        </w:rPr>
      </w:pPr>
      <w:r>
        <w:rPr>
          <w:rFonts w:ascii="Poppins Light" w:hAnsi="Poppins Light" w:cs="Poppins Light"/>
          <w:b/>
          <w:color w:val="auto"/>
          <w:sz w:val="22"/>
          <w:szCs w:val="22"/>
        </w:rPr>
        <w:lastRenderedPageBreak/>
        <w:t>ANEXO 3 – TEMÁTICAS</w:t>
      </w:r>
      <w:r>
        <w:rPr>
          <w:rFonts w:ascii="Poppins Light" w:hAnsi="Poppins Light" w:cs="Poppins Light"/>
          <w:color w:val="auto"/>
          <w:sz w:val="22"/>
          <w:szCs w:val="22"/>
        </w:rPr>
        <w:t xml:space="preserve"> </w:t>
      </w:r>
    </w:p>
    <w:p w14:paraId="051E3F2F" w14:textId="77777777" w:rsidR="00350CE5" w:rsidRDefault="00350CE5" w:rsidP="00350CE5">
      <w:pPr>
        <w:ind w:right="8"/>
        <w:jc w:val="both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Experiências das equipes de trabalhadores do município/Distrito Federal e/ou experiências da gestão municipal/distrital, incluindo aquelas executadas de forma compartilhada, cooperada, intersetorial ou interfederativa, nos respectivos territórios. </w:t>
      </w:r>
    </w:p>
    <w:p w14:paraId="746AA73E" w14:textId="77777777" w:rsidR="00350CE5" w:rsidRDefault="00350CE5" w:rsidP="00350CE5">
      <w:pPr>
        <w:spacing w:line="256" w:lineRule="auto"/>
        <w:ind w:right="8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 </w:t>
      </w:r>
    </w:p>
    <w:tbl>
      <w:tblPr>
        <w:tblStyle w:val="TabeladeLista3-nfase1"/>
        <w:tblW w:w="10201" w:type="dxa"/>
        <w:tblLook w:val="04A0" w:firstRow="1" w:lastRow="0" w:firstColumn="1" w:lastColumn="0" w:noHBand="0" w:noVBand="1"/>
      </w:tblPr>
      <w:tblGrid>
        <w:gridCol w:w="2729"/>
        <w:gridCol w:w="7472"/>
      </w:tblGrid>
      <w:tr w:rsidR="00350CE5" w14:paraId="285D1A82" w14:textId="77777777" w:rsidTr="00350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3A9EE611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color w:val="FFFFFF"/>
                <w:sz w:val="16"/>
                <w:szCs w:val="16"/>
              </w:rPr>
              <w:t>TEMÁTICA</w:t>
            </w:r>
          </w:p>
        </w:tc>
        <w:tc>
          <w:tcPr>
            <w:tcW w:w="7472" w:type="dxa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7CECED6B" w14:textId="77777777" w:rsidR="00350CE5" w:rsidRDefault="00350CE5">
            <w:pPr>
              <w:spacing w:line="256" w:lineRule="auto"/>
              <w:ind w:left="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color w:val="FFFFFF"/>
                <w:sz w:val="16"/>
                <w:szCs w:val="16"/>
              </w:rPr>
              <w:t>ESPECIFICAÇÃO DO RELATO</w:t>
            </w:r>
          </w:p>
        </w:tc>
      </w:tr>
      <w:tr w:rsidR="00350CE5" w14:paraId="669156F7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16CEB1CA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GESTÃO E PLANEJAMENTO DO SUS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12874D94" w14:textId="77777777" w:rsidR="00350CE5" w:rsidRDefault="00350CE5">
            <w:pPr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</w:t>
            </w: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:</w:t>
            </w: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6BB7ED45" w14:textId="77777777" w:rsidR="00350CE5" w:rsidRDefault="00350CE5">
            <w:pPr>
              <w:spacing w:after="21"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0A166D5A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after="8" w:line="26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Práticas na elaboração, articulação e acompanhamento dos instrumentos de gestão e planejamento do SUS. </w:t>
            </w:r>
          </w:p>
          <w:p w14:paraId="196DBDC9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68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de construção de diagnóstico, análise de situação de saúde, definição de prioridades, metas e indicadores. </w:t>
            </w:r>
          </w:p>
          <w:p w14:paraId="22168251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after="12" w:line="244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processos e procedimentos legais de organização administrativa do sistema local de saúde: processos licitatórios/registro de preços/terceirização. </w:t>
            </w:r>
          </w:p>
          <w:p w14:paraId="54921D0A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2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organização das referências e os processos de pactuação. </w:t>
            </w:r>
          </w:p>
          <w:p w14:paraId="0470EAA5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47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processos de contratualização de serviços de saúde, integração regional e adequação dos limites geográficos. </w:t>
            </w:r>
          </w:p>
          <w:p w14:paraId="7AE65F87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participação na CIR e processos decisórios (CIR e CIB). </w:t>
            </w:r>
          </w:p>
          <w:p w14:paraId="72EBC8F5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after="6" w:line="26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implantação e implementação de ouvidorias como instrumento de gestão do SUS. </w:t>
            </w:r>
          </w:p>
          <w:p w14:paraId="5A895637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 organização  e  funcionamento  do Fundo </w:t>
            </w:r>
          </w:p>
          <w:p w14:paraId="61BD5585" w14:textId="77777777" w:rsidR="00350CE5" w:rsidRDefault="00350CE5">
            <w:pPr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Municipal/Distrital de Saúde. </w:t>
            </w:r>
          </w:p>
          <w:p w14:paraId="3786AB7B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after="8" w:line="247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planejamento e execução orçamentária, conforme instrumentos de planejamento em saúde. </w:t>
            </w:r>
          </w:p>
          <w:p w14:paraId="446D5132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after="9"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gestão dos recursos financeiros. </w:t>
            </w:r>
          </w:p>
          <w:p w14:paraId="30D0B7E4" w14:textId="77777777" w:rsidR="00350CE5" w:rsidRDefault="00350CE5" w:rsidP="00350CE5">
            <w:pPr>
              <w:numPr>
                <w:ilvl w:val="0"/>
                <w:numId w:val="25"/>
              </w:numPr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alocação de recursos: planejamento e respectiva análise. </w:t>
            </w:r>
          </w:p>
          <w:p w14:paraId="522B7FAB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gestão de custos em saúde. </w:t>
            </w:r>
          </w:p>
          <w:p w14:paraId="69CD94CA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6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sobre investimentos em ações e serviços públicos de saúde. </w:t>
            </w:r>
          </w:p>
          <w:p w14:paraId="0ED20924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9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monitoramento e avaliação: ferramentas e métodos para medir indicadores e resultados de saúde, apoiando a tomada de decisão. </w:t>
            </w:r>
          </w:p>
          <w:p w14:paraId="2AB551F1" w14:textId="77777777" w:rsidR="00350CE5" w:rsidRDefault="00350CE5">
            <w:pPr>
              <w:spacing w:after="14" w:line="237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processos locais de organização do município frente à Judicialização: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</w:p>
          <w:p w14:paraId="0915564F" w14:textId="77777777" w:rsidR="00350CE5" w:rsidRDefault="00350CE5">
            <w:pPr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129CBA51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47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núcleos de apoio técnico e de análise das demandas judiciais. </w:t>
            </w:r>
          </w:p>
          <w:p w14:paraId="21A46FF2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47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 e  arranjos  de  cooperação  com  atores  do  Sistema  de  Justiça, inclusive pré-processuais para a prevenção da Judicialização. </w:t>
            </w:r>
          </w:p>
          <w:p w14:paraId="3C676B6F" w14:textId="77777777" w:rsidR="00350CE5" w:rsidRDefault="00350CE5" w:rsidP="00350CE5">
            <w:pPr>
              <w:widowControl/>
              <w:numPr>
                <w:ilvl w:val="0"/>
                <w:numId w:val="25"/>
              </w:numPr>
              <w:autoSpaceDE/>
              <w:spacing w:line="256" w:lineRule="auto"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 de  manejo  da  judicialização  no  âmbito  municipal/distrital  que conduziram à redução do número de demandas judiciais. </w:t>
            </w:r>
          </w:p>
        </w:tc>
      </w:tr>
      <w:tr w:rsidR="00350CE5" w14:paraId="6531F8F9" w14:textId="77777777" w:rsidTr="00350CE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70C2332B" w14:textId="77777777" w:rsidR="00350CE5" w:rsidRDefault="00350CE5">
            <w:pPr>
              <w:spacing w:line="256" w:lineRule="auto"/>
              <w:ind w:left="143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500E8811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49294824" w14:textId="77777777" w:rsidR="00350CE5" w:rsidRDefault="00350CE5">
            <w:pPr>
              <w:spacing w:after="20"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CONTROLE SOCIAL E PARTICIPAÇÃO DA COMUNIDADE NA SAÚDE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4FC16531" w14:textId="77777777" w:rsidR="00350CE5" w:rsidRDefault="00350CE5">
            <w:pPr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Inclui relatos sobre: </w:t>
            </w:r>
          </w:p>
          <w:p w14:paraId="4953FA04" w14:textId="77777777" w:rsidR="00350CE5" w:rsidRDefault="00350CE5">
            <w:pPr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35AB56E7" w14:textId="77777777" w:rsidR="00350CE5" w:rsidRDefault="00350CE5" w:rsidP="00350CE5">
            <w:pPr>
              <w:widowControl/>
              <w:numPr>
                <w:ilvl w:val="0"/>
                <w:numId w:val="26"/>
              </w:numPr>
              <w:autoSpaceDE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controle social e participação da comunidade no SUS. </w:t>
            </w:r>
          </w:p>
          <w:p w14:paraId="0931A188" w14:textId="77777777" w:rsidR="00350CE5" w:rsidRDefault="00350CE5" w:rsidP="00350CE5">
            <w:pPr>
              <w:widowControl/>
              <w:numPr>
                <w:ilvl w:val="0"/>
                <w:numId w:val="26"/>
              </w:numPr>
              <w:autoSpaceDE/>
              <w:ind w:lef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sobre ações e/ou mobilizações para participação do controle social nas conferências municipais e nas etapas estaduais ou nacional de Conferências de Saúde.  </w:t>
            </w:r>
          </w:p>
        </w:tc>
      </w:tr>
      <w:tr w:rsidR="00350CE5" w14:paraId="468EC1A4" w14:textId="77777777" w:rsidTr="00350CE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5886CDB7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17AD1A3E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6DA79A73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GESTÃO DO TRABALHO E DA EDUCAÇÃO NA SAÚDE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51DD20DE" w14:textId="77777777" w:rsidR="00350CE5" w:rsidRDefault="00350CE5">
            <w:pPr>
              <w:spacing w:after="14" w:line="232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experiências dos processos de gestão do trabalho nas Secretarias Municipais de Saúde: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</w:p>
          <w:p w14:paraId="2B42BE7D" w14:textId="77777777" w:rsidR="00350CE5" w:rsidRDefault="00350CE5">
            <w:pPr>
              <w:spacing w:line="256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3A929315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abordando valorização profissional, tais como: planos de cargos, carreira e salários; implantação de mesas de negociação; planejamento dos processos </w:t>
            </w:r>
            <w:r>
              <w:rPr>
                <w:rFonts w:ascii="Poppins Light" w:hAnsi="Poppins Light" w:cs="Poppins Light"/>
                <w:sz w:val="16"/>
                <w:szCs w:val="16"/>
              </w:rPr>
              <w:lastRenderedPageBreak/>
              <w:t xml:space="preserve">gerenciais e da estrutura organizacional da área de gestão do trabalho na SMS; formulação e implementação de programas de qualificação, incentivo e vínculo dos profissionais. </w:t>
            </w:r>
          </w:p>
          <w:p w14:paraId="24216605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sobre relações de trabalho a partir da participação do trabalhador na gestão da saúde no território e o resultado para a efetividade e eficiência do SUS. </w:t>
            </w:r>
          </w:p>
          <w:p w14:paraId="30539C0B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da gestão com a participação do trabalhador como sujeito e agente transformador de seu ambiente e das ações nos processos de trabalho: na organização da assistência à saúde; na organização do cuidado. </w:t>
            </w:r>
          </w:p>
          <w:p w14:paraId="12961DC0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after="2"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sobre a saúde e segurança do trabalhador, incluindo ações voltadas para as ofertas de cuidado e manejo de sofrimento psíquico destes profissionais. </w:t>
            </w:r>
          </w:p>
          <w:p w14:paraId="24001ABB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iniciativas voltadas à adequação quantitativa e qualitativa de profissionais às demandas dos serviços. </w:t>
            </w:r>
          </w:p>
          <w:p w14:paraId="330E3274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teletrabalho utilizando tecnologias ou reorganização de processos para maior eficiência e satisfação dos trabalhadores. </w:t>
            </w:r>
          </w:p>
          <w:p w14:paraId="42B260A9" w14:textId="77777777" w:rsidR="00350CE5" w:rsidRDefault="00350CE5">
            <w:pPr>
              <w:spacing w:after="7"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 xml:space="preserve">Inclui relatos sobre experiências na educação na saúde e formação de profissionais de saúde com ênfase na mudança das práticas dos profissionais e do trabalho das Equipes, no desenvolvimento das ações de saúde: </w:t>
            </w:r>
          </w:p>
          <w:p w14:paraId="50330909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after="2"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Educação Permanente em Saúde como ferramenta para a reflexão crítica sobre a prática cotidiana dos serviços de saúde, visando mudanças nas relações, nos processos, nos atos de saúde e nas pessoas. </w:t>
            </w:r>
          </w:p>
          <w:p w14:paraId="50EE8FB6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after="16"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construção de propostas de sensibilização e qualificação visando à formação dos gestores, trabalhadores e usuários do SUS. </w:t>
            </w:r>
          </w:p>
          <w:p w14:paraId="6B0C131B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56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integração ensino-serviço. </w:t>
            </w:r>
          </w:p>
          <w:p w14:paraId="4945D26B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inovação educacional: Uso de metodologias ativas, ferramentas digitais ou plataformas de ensino para qualificação dos trabalhadores. </w:t>
            </w:r>
          </w:p>
          <w:p w14:paraId="16A62405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formação de gestores: experiências voltadas para capacitação de líderes e gestores na área da saúde. </w:t>
            </w:r>
          </w:p>
          <w:p w14:paraId="7EC0A2CA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desenvolvimento ou fortalecimento de programas de residência multiprofissional e em medicina de família e comunidade. </w:t>
            </w:r>
          </w:p>
          <w:p w14:paraId="3F320A75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discussão de diagnóstico, planejamento e implantação de COAPES – Contrato Organizativo de Ação Pública Ensino-Saúde de acordo com as necessidades locorregionais. </w:t>
            </w:r>
          </w:p>
          <w:p w14:paraId="7DC7F3B5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after="2" w:line="237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matriciamento entre equipes especializadas (e/ou multiprofissionais) e equipes da Atenção Básica.  </w:t>
            </w:r>
          </w:p>
          <w:p w14:paraId="7ADD5259" w14:textId="77777777" w:rsidR="00350CE5" w:rsidRDefault="00350CE5" w:rsidP="00350CE5">
            <w:pPr>
              <w:widowControl/>
              <w:numPr>
                <w:ilvl w:val="0"/>
                <w:numId w:val="27"/>
              </w:numPr>
              <w:autoSpaceDE/>
              <w:spacing w:line="256" w:lineRule="auto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 de apoio institucional e/ou apoio matricial, no âmbito da gestão e/ou da clínica e/ou das relações interprofissionais.  </w:t>
            </w:r>
          </w:p>
        </w:tc>
      </w:tr>
      <w:tr w:rsidR="00350CE5" w14:paraId="01E75E80" w14:textId="77777777" w:rsidTr="00350CE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66D48461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09708249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2420FF23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ATENÇÃO BÁSICA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20E8A2C2" w14:textId="77777777" w:rsidR="00350CE5" w:rsidRDefault="00350CE5">
            <w:pPr>
              <w:spacing w:after="5"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a gestão e organização da AB no município/Distrito Federal: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</w:p>
          <w:p w14:paraId="17B8AA12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15"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ações comunicativas entre dirigentes, técnicos e usuários dos serviços visando a democratização das relações e otimizando resultados. </w:t>
            </w:r>
          </w:p>
          <w:p w14:paraId="226133DB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10" w:line="242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para ampliação do acesso à APS (ex.: horários estendidos, teleatendimentos). </w:t>
            </w:r>
          </w:p>
          <w:p w14:paraId="060F1EB2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organização das agendas e redução do absenteísmo. </w:t>
            </w:r>
          </w:p>
          <w:p w14:paraId="0D1946BE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de atenção na articulação dos territórios: parcerias, pontos de apoio, HPP, UPA, Atenção Domiciliar. </w:t>
            </w:r>
          </w:p>
          <w:p w14:paraId="1DBBA3B8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2"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Ações e atividades de acolhimento e aproximação dos serviços de saúde e usuários. </w:t>
            </w:r>
          </w:p>
          <w:p w14:paraId="42848244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fortalecimento da Estratégia Saúde da Família (ESF), com ações inovadoras de cuidado. </w:t>
            </w:r>
          </w:p>
          <w:p w14:paraId="70863BEC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2"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implementação de protocolos assistenciais baseados em evidências. </w:t>
            </w:r>
          </w:p>
          <w:p w14:paraId="68B5C90A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2"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Ações de promoção da saúde e prevenção de doenças em temas como alimentação saudável, prática de atividades físicas, imunização e saúde bucal, com ou sem abordagem intersetorial, envolvendo escolas, comunidades e outros setores. </w:t>
            </w:r>
          </w:p>
          <w:p w14:paraId="20EE6BA9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promoção da equidade e garantia de acesso à saúde de grupos específicos: populações em situação de rua, negra, ciganos, quilombolas, indígenas, LGBT, campo, floresta e águas entre outros. </w:t>
            </w:r>
          </w:p>
          <w:p w14:paraId="75A502DD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13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lastRenderedPageBreak/>
              <w:t xml:space="preserve">Experiências com ações e metodologias de planejamento das estratégias intersetoriais visando a melhoria da qualidade de vida das comunidades. </w:t>
            </w:r>
          </w:p>
          <w:p w14:paraId="566BDBA2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42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integração entre a atenção básica e a vigilância em saúde. </w:t>
            </w:r>
          </w:p>
          <w:p w14:paraId="02D5BFBB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que promovam o trabalho articulado entre médicos, enfermeiros, agentes comunitários e profissionais de equipes multiprofissionais. </w:t>
            </w:r>
          </w:p>
          <w:p w14:paraId="5D290F4C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after="2"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ordenamento da rede de saúde e da coordenação do cuidado: matriciamento / integração com equipes multiprofissionais.  </w:t>
            </w:r>
          </w:p>
          <w:p w14:paraId="0B3CB074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spacing w:line="237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campanhas de prevenção específicas, como saúde da mulher (planejamento familiar, pré natal, prevenção de câncer, saúde do homem, acompanhamento e monitoramento de doentes crônicos, violência domiciliar e envelhecimento saudável). </w:t>
            </w:r>
          </w:p>
          <w:p w14:paraId="324A1474" w14:textId="77777777" w:rsidR="00350CE5" w:rsidRDefault="00350CE5" w:rsidP="00350CE5">
            <w:pPr>
              <w:widowControl/>
              <w:numPr>
                <w:ilvl w:val="0"/>
                <w:numId w:val="28"/>
              </w:numPr>
              <w:autoSpaceDE/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ações preventivas realizadas em escolas, espaços comunitários e locais de trabalho. </w:t>
            </w:r>
          </w:p>
          <w:p w14:paraId="5EFF7676" w14:textId="77777777" w:rsidR="00350CE5" w:rsidRDefault="00350CE5" w:rsidP="00350CE5">
            <w:pPr>
              <w:numPr>
                <w:ilvl w:val="0"/>
                <w:numId w:val="28"/>
              </w:numPr>
              <w:spacing w:line="237" w:lineRule="auto"/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soluções digitais para estratificação de risco e organização da agenda de cuidados.   </w:t>
            </w:r>
          </w:p>
        </w:tc>
      </w:tr>
      <w:tr w:rsidR="00350CE5" w14:paraId="6A2C09C0" w14:textId="77777777" w:rsidTr="00350CE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3C42CFD6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17904487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367EEFC1" w14:textId="77777777" w:rsidR="00350CE5" w:rsidRDefault="00350CE5">
            <w:pPr>
              <w:spacing w:line="256" w:lineRule="auto"/>
              <w:ind w:left="164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MODELO DE ATENÇÃO À SAÚDE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3EC09342" w14:textId="77777777" w:rsidR="00350CE5" w:rsidRDefault="00350CE5">
            <w:pPr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</w:p>
          <w:p w14:paraId="7CDE2423" w14:textId="77777777" w:rsidR="00350CE5" w:rsidRDefault="00350CE5">
            <w:pPr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711D58C2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after="3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A construção da Rede de Atenção à Saúde.  </w:t>
            </w:r>
          </w:p>
          <w:p w14:paraId="0DE30909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Monitoramento regional da Rede de Atenção à Saúde. </w:t>
            </w:r>
          </w:p>
          <w:p w14:paraId="59DE49CD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estratégias de diagnóstico e governança, nas discussões de ofertas de serviços e resolutividade regional. </w:t>
            </w:r>
          </w:p>
          <w:p w14:paraId="3FC22BC4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after="18"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nas pactuações e na definição das portas de entradas, fluxos e referências e contra-referências. </w:t>
            </w:r>
          </w:p>
          <w:p w14:paraId="1715E66E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after="3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organização do Transporte Sanitário.  </w:t>
            </w:r>
          </w:p>
          <w:p w14:paraId="3E35D6D6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da AB como ordenadora da rede. </w:t>
            </w:r>
          </w:p>
          <w:p w14:paraId="327FB785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after="2"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a programação e acompanhamento das ações e serviços de saúde no território e na região. </w:t>
            </w:r>
          </w:p>
          <w:p w14:paraId="68B032BE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coordenação do cuidado: Adoção de práticas que garantam a continuidade e o acompanhamento do cuidado entre diferentes serviços e equipes. </w:t>
            </w:r>
          </w:p>
          <w:p w14:paraId="4A97A386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abordagens interdisciplinares: modelos que integrem diferentes categorias profissionais para planejar e executar o cuidado, incluindo as equipes multiprofissionais. </w:t>
            </w:r>
          </w:p>
          <w:p w14:paraId="3669393A" w14:textId="77777777" w:rsidR="00350CE5" w:rsidRDefault="00350CE5">
            <w:pPr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uso de ferramentas para estratificação de risco e gestão do cuidado, com foco em doenças crônicas ou agravos sensíveis à Atenção Primária. </w:t>
            </w:r>
          </w:p>
          <w:p w14:paraId="7DC52EF9" w14:textId="77777777" w:rsidR="00350CE5" w:rsidRDefault="00350CE5" w:rsidP="00350CE5">
            <w:pPr>
              <w:widowControl/>
              <w:numPr>
                <w:ilvl w:val="0"/>
                <w:numId w:val="30"/>
              </w:numPr>
              <w:autoSpaceDE/>
              <w:spacing w:after="2" w:line="237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 de regulação sob coordenação da  AB: atenção especializada,  apoio diagnóstico e atenção hospitalar. </w:t>
            </w:r>
          </w:p>
          <w:p w14:paraId="10A7FC8C" w14:textId="77777777" w:rsidR="00350CE5" w:rsidRDefault="00350CE5" w:rsidP="00350CE5">
            <w:pPr>
              <w:widowControl/>
              <w:numPr>
                <w:ilvl w:val="0"/>
                <w:numId w:val="29"/>
              </w:numPr>
              <w:autoSpaceDE/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>Experiências na conformação da governança da rede macrorregional no Planejamento Regional Integrado.</w:t>
            </w:r>
          </w:p>
        </w:tc>
      </w:tr>
      <w:tr w:rsidR="00350CE5" w14:paraId="1AB61988" w14:textId="77777777" w:rsidTr="00350CE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14A1B554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226D6CFA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56FE2ADB" w14:textId="77777777" w:rsidR="00350CE5" w:rsidRDefault="00350CE5">
            <w:pPr>
              <w:spacing w:line="256" w:lineRule="auto"/>
              <w:ind w:left="317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VIGILÂNCIA EM SAÚDE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FBEF317" w14:textId="77777777" w:rsidR="00350CE5" w:rsidRDefault="00350CE5">
            <w:pPr>
              <w:spacing w:after="4" w:line="25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promoção das ações de controle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: </w:t>
            </w:r>
          </w:p>
          <w:p w14:paraId="0B80A9E7" w14:textId="77777777" w:rsidR="00350CE5" w:rsidRDefault="00350CE5">
            <w:pPr>
              <w:spacing w:after="4" w:line="25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</w:p>
          <w:p w14:paraId="6202AFCC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coleta e processamento de dados. </w:t>
            </w:r>
          </w:p>
          <w:p w14:paraId="1C1F1DBF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análise dos dados, avaliação e divulgação. </w:t>
            </w:r>
          </w:p>
          <w:p w14:paraId="70C4ECCB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2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recomendações de medidas, intervenções e discussão com as Equipes de Saúde e Comunidade. </w:t>
            </w:r>
          </w:p>
          <w:p w14:paraId="4DBD21BB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4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no enfrentamento adequado dos principais problemas e desafios da gestão local de saúde. </w:t>
            </w:r>
          </w:p>
          <w:p w14:paraId="6BC3D1AE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4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nas análises sobre a situação de saúde e de seus determinantes e condicionantes. </w:t>
            </w:r>
          </w:p>
          <w:p w14:paraId="524FFCBE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12" w:line="244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capacitação das equipes de saúde no aperfeiçoamento da produção de informações, conhecimentos e evidências, no sentido de qualificação da gestão do SUS.  </w:t>
            </w:r>
          </w:p>
          <w:p w14:paraId="619FDAAA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a alimentação dos sistemas de informação. </w:t>
            </w:r>
          </w:p>
          <w:p w14:paraId="4C949D33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11" w:line="24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com a Rede de Frio, ações de imunização e articulação com a AB. </w:t>
            </w:r>
          </w:p>
          <w:p w14:paraId="7C5F8783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lastRenderedPageBreak/>
              <w:t xml:space="preserve">Experiências em emergências de saúde pública. </w:t>
            </w:r>
          </w:p>
          <w:p w14:paraId="77DEB28F" w14:textId="77777777" w:rsidR="00350CE5" w:rsidRDefault="00350CE5">
            <w:pPr>
              <w:spacing w:after="25" w:line="23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a implantação e implementação de ações de vigilância ambiental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: </w:t>
            </w:r>
          </w:p>
          <w:p w14:paraId="35750F76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no monitoramento da qualidade da água e ar.  </w:t>
            </w:r>
          </w:p>
          <w:p w14:paraId="66DEF0EA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Ações de controle de zoonoses. </w:t>
            </w:r>
          </w:p>
          <w:p w14:paraId="11CD330D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Ações de controle de vetores. </w:t>
            </w:r>
          </w:p>
          <w:p w14:paraId="082C3EBC" w14:textId="77777777" w:rsidR="00350CE5" w:rsidRDefault="00350CE5">
            <w:pPr>
              <w:spacing w:after="6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ações da VISA no município: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 </w:t>
            </w:r>
          </w:p>
          <w:p w14:paraId="246F70F0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educação em saúde. </w:t>
            </w:r>
          </w:p>
          <w:p w14:paraId="624C7B55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fiscalização.  </w:t>
            </w:r>
          </w:p>
          <w:p w14:paraId="2B24450C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12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Implantação de Código Sanitário. </w:t>
            </w:r>
          </w:p>
          <w:p w14:paraId="297996AE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9"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nas ações da VISA integradas com Atenção Básica. </w:t>
            </w:r>
          </w:p>
          <w:p w14:paraId="38966954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nas ações integradas das vigilâncias. </w:t>
            </w:r>
          </w:p>
          <w:p w14:paraId="7D53865E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4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da Gestão da descentralização das ações da VISA, vinculado às normativas do Sistema Nacional de Vigilância Sanitária. </w:t>
            </w:r>
          </w:p>
          <w:p w14:paraId="0856AF99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47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nas Ações de Saúde do Trabalhador, Rede de serviços sentinela, articulação e integração de ações com AB. </w:t>
            </w:r>
          </w:p>
          <w:p w14:paraId="009B4658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after="6" w:line="252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sobre práticas de rastreamento da distribuição de produtos, incluindo medicamentos. </w:t>
            </w:r>
          </w:p>
          <w:p w14:paraId="5FE65590" w14:textId="77777777" w:rsidR="00350CE5" w:rsidRDefault="00350CE5" w:rsidP="00350CE5">
            <w:pPr>
              <w:widowControl/>
              <w:numPr>
                <w:ilvl w:val="0"/>
                <w:numId w:val="31"/>
              </w:numPr>
              <w:autoSpaceDE/>
              <w:spacing w:line="256" w:lineRule="auto"/>
              <w:ind w:left="1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emergências de saúde pública. </w:t>
            </w:r>
          </w:p>
        </w:tc>
      </w:tr>
      <w:tr w:rsidR="00350CE5" w14:paraId="5560EA31" w14:textId="77777777" w:rsidTr="00350CE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5AFA74D5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288476E3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</w:tcPr>
          <w:p w14:paraId="02053957" w14:textId="77777777" w:rsidR="00350CE5" w:rsidRDefault="00350CE5">
            <w:pPr>
              <w:spacing w:line="256" w:lineRule="auto"/>
              <w:ind w:left="56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REGULAÇÃO DO SUS</w:t>
            </w:r>
          </w:p>
          <w:p w14:paraId="1D75626C" w14:textId="77777777" w:rsidR="00350CE5" w:rsidRDefault="00350CE5">
            <w:pPr>
              <w:spacing w:line="256" w:lineRule="auto"/>
              <w:ind w:left="106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3B4D9C55" w14:textId="77777777" w:rsidR="00350CE5" w:rsidRDefault="00350CE5">
            <w:pPr>
              <w:spacing w:line="256" w:lineRule="auto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 sobre implantação e implementação de ações sobre a regulação no território</w:t>
            </w: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:</w:t>
            </w: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2B734438" w14:textId="77777777" w:rsidR="00350CE5" w:rsidRDefault="00350CE5">
            <w:pPr>
              <w:spacing w:line="256" w:lineRule="auto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000CDBEF" w14:textId="77777777" w:rsidR="00350CE5" w:rsidRDefault="00350CE5" w:rsidP="00350CE5">
            <w:pPr>
              <w:widowControl/>
              <w:numPr>
                <w:ilvl w:val="0"/>
                <w:numId w:val="32"/>
              </w:numPr>
              <w:autoSpaceDE/>
              <w:spacing w:line="237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na regulamentação, controle e fiscalização sobre  produtores  de bens e serviços de saúde públicos e privados. </w:t>
            </w:r>
          </w:p>
          <w:p w14:paraId="085E0D29" w14:textId="77777777" w:rsidR="00350CE5" w:rsidRDefault="00350CE5" w:rsidP="00350CE5">
            <w:pPr>
              <w:widowControl/>
              <w:numPr>
                <w:ilvl w:val="0"/>
                <w:numId w:val="32"/>
              </w:numPr>
              <w:autoSpaceDE/>
              <w:spacing w:after="21" w:line="235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no acompanhamento e avaliação das ações e serviços de saúde: qualidade, humanização, resolubilidade e satisfação do usuário. </w:t>
            </w: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 xml:space="preserve">Inclui relatos sobre ações e estratégias sobre processos de regulação da atenção à saúde: </w:t>
            </w:r>
          </w:p>
          <w:p w14:paraId="1B2B8D41" w14:textId="77777777" w:rsidR="00350CE5" w:rsidRDefault="00350CE5" w:rsidP="00350CE5">
            <w:pPr>
              <w:numPr>
                <w:ilvl w:val="0"/>
                <w:numId w:val="32"/>
              </w:numPr>
              <w:spacing w:line="256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em contratualização dos serviços com foco na rede de atenção. </w:t>
            </w:r>
          </w:p>
          <w:p w14:paraId="70D6AFF3" w14:textId="77777777" w:rsidR="00350CE5" w:rsidRDefault="00350CE5" w:rsidP="00350CE5">
            <w:pPr>
              <w:numPr>
                <w:ilvl w:val="0"/>
                <w:numId w:val="32"/>
              </w:numPr>
              <w:spacing w:line="256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>Experiências no monitoramento e avaliação, processamento das informações para pagamento, cadastro dos estabelecimentos de saúde e profissionais, autorização de intern</w:t>
            </w:r>
            <w:r>
              <w:rPr>
                <w:rFonts w:ascii="Poppins Light" w:hAnsi="Poppins Light" w:cs="Poppins Light"/>
                <w:sz w:val="16"/>
                <w:szCs w:val="16"/>
              </w:rPr>
              <w:t>ações e apoio diagnóstico, etc.</w:t>
            </w:r>
          </w:p>
          <w:p w14:paraId="7728F3E3" w14:textId="77777777" w:rsidR="00350CE5" w:rsidRDefault="00350CE5" w:rsidP="00350CE5">
            <w:pPr>
              <w:numPr>
                <w:ilvl w:val="0"/>
                <w:numId w:val="32"/>
              </w:numPr>
              <w:spacing w:line="256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regulação do acesso. </w:t>
            </w:r>
          </w:p>
          <w:p w14:paraId="792139FB" w14:textId="77777777" w:rsidR="00350CE5" w:rsidRDefault="00350CE5" w:rsidP="00350CE5">
            <w:pPr>
              <w:numPr>
                <w:ilvl w:val="0"/>
                <w:numId w:val="32"/>
              </w:numPr>
              <w:spacing w:line="256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Implantação de protocolos de encaminhamento e estruturação  dos  fluxos referência e contrarreferência. </w:t>
            </w:r>
          </w:p>
          <w:p w14:paraId="0ABA4F64" w14:textId="77777777" w:rsidR="00350CE5" w:rsidRDefault="00350CE5" w:rsidP="00350CE5">
            <w:pPr>
              <w:widowControl/>
              <w:numPr>
                <w:ilvl w:val="0"/>
                <w:numId w:val="32"/>
              </w:numPr>
              <w:autoSpaceDE/>
              <w:spacing w:line="256" w:lineRule="auto"/>
              <w:ind w:left="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Experiências sobre gestão de leitos. </w:t>
            </w:r>
          </w:p>
        </w:tc>
      </w:tr>
      <w:tr w:rsidR="00350CE5" w14:paraId="12211151" w14:textId="77777777" w:rsidTr="00350CE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7CD1A7D8" w14:textId="77777777" w:rsidR="00350CE5" w:rsidRDefault="00350CE5">
            <w:pPr>
              <w:spacing w:after="160" w:line="256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47B8CEDB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19A2100B" w14:textId="77777777" w:rsidR="00350CE5" w:rsidRDefault="00350CE5">
            <w:pPr>
              <w:spacing w:line="256" w:lineRule="auto"/>
              <w:ind w:left="106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GESTÃO DA ASSISTÊNCIA FARMACÊUTICA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4E31A3" w14:textId="77777777" w:rsidR="00350CE5" w:rsidRDefault="00350CE5">
            <w:pPr>
              <w:spacing w:line="256" w:lineRule="auto"/>
              <w:ind w:left="1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 experiências na organização e estruturação da assistência farmacêutica</w:t>
            </w: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 xml:space="preserve"> :</w:t>
            </w: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47D32A88" w14:textId="77777777" w:rsidR="00350CE5" w:rsidRDefault="00350CE5">
            <w:pPr>
              <w:spacing w:line="256" w:lineRule="auto"/>
              <w:ind w:left="1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</w:p>
          <w:p w14:paraId="0B13880A" w14:textId="77777777" w:rsidR="00350CE5" w:rsidRDefault="00350CE5" w:rsidP="00350CE5">
            <w:pPr>
              <w:pStyle w:val="PargrafodaLista"/>
              <w:widowControl/>
              <w:numPr>
                <w:ilvl w:val="0"/>
                <w:numId w:val="24"/>
              </w:numPr>
              <w:autoSpaceDE/>
              <w:spacing w:line="261" w:lineRule="auto"/>
              <w:ind w:left="10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>Experiência nos serviços relacionados ao cuidado farmacêutico</w:t>
            </w:r>
            <w:r>
              <w:rPr>
                <w:rFonts w:ascii="Poppins Light" w:eastAsia="Times New Roman" w:hAnsi="Poppins Light" w:cs="Poppins Light"/>
                <w:sz w:val="16"/>
                <w:szCs w:val="16"/>
                <w:lang w:eastAsia="pt-BR"/>
              </w:rPr>
              <w:t>.</w:t>
            </w: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 Experiências   nos serviços farmacêuticos técnico-gerenciais (seleção, programação, aquisição, armazenamento e distribuição). </w:t>
            </w:r>
          </w:p>
          <w:p w14:paraId="075698F0" w14:textId="77777777" w:rsidR="00350CE5" w:rsidRDefault="00350CE5" w:rsidP="00350CE5">
            <w:pPr>
              <w:pStyle w:val="PargrafodaLista"/>
              <w:widowControl/>
              <w:numPr>
                <w:ilvl w:val="0"/>
                <w:numId w:val="24"/>
              </w:numPr>
              <w:autoSpaceDE/>
              <w:spacing w:line="256" w:lineRule="auto"/>
              <w:ind w:left="10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Experiência na implantação e execução do programa QualifarSUS. </w:t>
            </w:r>
          </w:p>
          <w:p w14:paraId="2035F699" w14:textId="77777777" w:rsidR="00350CE5" w:rsidRDefault="00350CE5" w:rsidP="00350CE5">
            <w:pPr>
              <w:pStyle w:val="PargrafodaLista"/>
              <w:widowControl/>
              <w:numPr>
                <w:ilvl w:val="0"/>
                <w:numId w:val="24"/>
              </w:numPr>
              <w:autoSpaceDE/>
              <w:spacing w:line="256" w:lineRule="auto"/>
              <w:ind w:left="10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Experiência em estratégia de aquisição compartilhada de medicamentos (consórcio, atas de registro de preço, compras centralizadas com outro ente, etc.). </w:t>
            </w:r>
          </w:p>
          <w:p w14:paraId="51420307" w14:textId="77777777" w:rsidR="00350CE5" w:rsidRDefault="00350CE5" w:rsidP="00350CE5">
            <w:pPr>
              <w:pStyle w:val="PargrafodaLista"/>
              <w:widowControl/>
              <w:numPr>
                <w:ilvl w:val="0"/>
                <w:numId w:val="24"/>
              </w:numPr>
              <w:autoSpaceDE/>
              <w:spacing w:line="256" w:lineRule="auto"/>
              <w:ind w:left="10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Experiências em saúde digital na assistência farmacêutica (Hórus, ESUS, tecnologias de informação, etc.). </w:t>
            </w:r>
          </w:p>
          <w:p w14:paraId="6C7B0D44" w14:textId="77777777" w:rsidR="00350CE5" w:rsidRDefault="00350CE5" w:rsidP="00350CE5">
            <w:pPr>
              <w:pStyle w:val="PargrafodaLista"/>
              <w:widowControl/>
              <w:numPr>
                <w:ilvl w:val="0"/>
                <w:numId w:val="24"/>
              </w:numPr>
              <w:tabs>
                <w:tab w:val="center" w:pos="522"/>
                <w:tab w:val="center" w:pos="3490"/>
              </w:tabs>
              <w:autoSpaceDE/>
              <w:spacing w:line="256" w:lineRule="auto"/>
              <w:ind w:left="10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  <w:lang w:eastAsia="pt-BR"/>
              </w:rPr>
            </w:pPr>
            <w:r>
              <w:rPr>
                <w:rFonts w:ascii="Poppins Light" w:hAnsi="Poppins Light" w:cs="Poppins Light"/>
                <w:sz w:val="16"/>
                <w:szCs w:val="16"/>
                <w:lang w:eastAsia="pt-BR"/>
              </w:rPr>
              <w:t xml:space="preserve">Experiências sobre a promoção do uso racional de medicamentos. </w:t>
            </w:r>
          </w:p>
        </w:tc>
      </w:tr>
      <w:tr w:rsidR="00350CE5" w14:paraId="3586E93E" w14:textId="77777777" w:rsidTr="00350CE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17E489CB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53B046FC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13AEC7B8" w14:textId="77777777" w:rsidR="00350CE5" w:rsidRDefault="00350CE5">
            <w:pPr>
              <w:spacing w:after="160"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SAÚDE DIGITAL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3330894E" w14:textId="77777777" w:rsidR="00350CE5" w:rsidRDefault="00350CE5">
            <w:pPr>
              <w:spacing w:line="256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Inclui relatos sobre: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</w:t>
            </w:r>
          </w:p>
          <w:p w14:paraId="6810364C" w14:textId="77777777" w:rsidR="00350CE5" w:rsidRDefault="00350CE5">
            <w:pPr>
              <w:spacing w:line="256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</w:p>
          <w:p w14:paraId="50FFEDF4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lastRenderedPageBreak/>
              <w:t xml:space="preserve">Experiências inovadoras no uso da Tecnologia da Informação e Comunicação como meio para qualificar os processos de  vigilância em saúde, atenção à saúde, assistência farmacêutica, gestão do trabalho, educação em saúde ou gestão do SUS. </w:t>
            </w:r>
          </w:p>
          <w:p w14:paraId="05589C82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after="18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que demonstrem a mudança na realidade local e melhoria da gestão pelo acompanhamento, monitoramento, avaliação e análise sistemática de informações em saúde. </w:t>
            </w:r>
          </w:p>
          <w:p w14:paraId="3378EC29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line="256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que apontem a utilização de tecnologias emergentes </w:t>
            </w:r>
          </w:p>
          <w:p w14:paraId="4108BEEE" w14:textId="77777777" w:rsidR="00350CE5" w:rsidRDefault="00350CE5">
            <w:pPr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(chatbots,  inteligência artificial, aplicações móveis, dispositivos vestíveis, robótica aplicada, medicina personalizada e internet das coisas, voltados ao SUS) como mecanismos para transformação do SUS e melhoria da saúde da população. </w:t>
            </w:r>
          </w:p>
          <w:p w14:paraId="079188BB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after="1"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que apliquem Tecnologia da Informação e Comunicação para gerar maior interação e engajamento do cidadão e proporcionar desfechos positivos no seu processo de saúde-doença. </w:t>
            </w:r>
          </w:p>
          <w:p w14:paraId="7537205B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relacionadas à implementação da Lei nº 13.709, de 14 de agosto de 2018 (Lei Geral de Proteção de Dados Pessoais - LGPD), no âmbito da SMS. </w:t>
            </w:r>
          </w:p>
          <w:p w14:paraId="5EE14CA0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after="2"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adoção de mecanismos de segurança e proteção de dados pessoais no SUS, em conformidade com a LGPD. </w:t>
            </w:r>
          </w:p>
          <w:p w14:paraId="044582DA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demonstrando o resultado da inserção da Saúde Digital nos instrumentos de planejamento do SUS nas necessidades de saúde identificadas. </w:t>
            </w:r>
          </w:p>
          <w:p w14:paraId="79B987CF" w14:textId="77777777" w:rsidR="00350CE5" w:rsidRDefault="00350CE5" w:rsidP="00350CE5">
            <w:pPr>
              <w:widowControl/>
              <w:numPr>
                <w:ilvl w:val="0"/>
                <w:numId w:val="33"/>
              </w:numPr>
              <w:autoSpaceDE/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inovação em tecnologias de cuidado e informação, como uso de prontuários eletrônicos e sistemas de informação para melhorar a gestão do cuidado e o acompanhamento dos usuários, implementação de tecnologias remotas, como teleconsultas ou telemonitoramento, para facilitar o acesso ao cuidado, soluções digitais para estratificação de risco e organização da agenda de cuidados. </w:t>
            </w:r>
          </w:p>
          <w:p w14:paraId="5D9C0D41" w14:textId="77777777" w:rsidR="00350CE5" w:rsidRDefault="00350CE5">
            <w:pPr>
              <w:spacing w:after="5"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>As experiências que envolvam o uso de Tecnologia da Informação e Comunicação - TIC deverão</w:t>
            </w:r>
            <w:r>
              <w:rPr>
                <w:rFonts w:ascii="Poppins Light" w:hAnsi="Poppins Light" w:cs="Poppins Light"/>
                <w:sz w:val="16"/>
                <w:szCs w:val="16"/>
              </w:rPr>
              <w:t xml:space="preserve">: </w:t>
            </w:r>
          </w:p>
          <w:p w14:paraId="46B55699" w14:textId="77777777" w:rsidR="00350CE5" w:rsidRDefault="00350CE5" w:rsidP="00350CE5">
            <w:pPr>
              <w:widowControl/>
              <w:numPr>
                <w:ilvl w:val="0"/>
                <w:numId w:val="34"/>
              </w:numPr>
              <w:autoSpaceDE/>
              <w:spacing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Estar em conformidade com as diretrizes da Política Nacional de Informação e Informática em Saúde e com a Estratégia de Saúde Digital para o Brasil. </w:t>
            </w:r>
          </w:p>
          <w:p w14:paraId="35C7F935" w14:textId="77777777" w:rsidR="00350CE5" w:rsidRDefault="00350CE5" w:rsidP="00350CE5">
            <w:pPr>
              <w:widowControl/>
              <w:numPr>
                <w:ilvl w:val="0"/>
                <w:numId w:val="34"/>
              </w:numPr>
              <w:autoSpaceDE/>
              <w:spacing w:after="2" w:line="237" w:lineRule="auto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Respeitar a LGPD, sendo vedada a exposição de dados pessoais dos usuários beneficiados pela experiência.  </w:t>
            </w:r>
          </w:p>
        </w:tc>
      </w:tr>
      <w:tr w:rsidR="00350CE5" w14:paraId="15BEA5A9" w14:textId="77777777" w:rsidTr="00350CE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2CA01E7E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350CE5" w14:paraId="5BDBADEB" w14:textId="77777777" w:rsidTr="003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vAlign w:val="center"/>
            <w:hideMark/>
          </w:tcPr>
          <w:p w14:paraId="4DE60EB9" w14:textId="77777777" w:rsidR="00350CE5" w:rsidRDefault="00350CE5">
            <w:pPr>
              <w:spacing w:line="256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lastRenderedPageBreak/>
              <w:t>SAÚDE MENTAL</w:t>
            </w:r>
          </w:p>
        </w:tc>
        <w:tc>
          <w:tcPr>
            <w:tcW w:w="7472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0DCFB03E" w14:textId="77777777" w:rsidR="00350CE5" w:rsidRDefault="00350CE5">
            <w:pPr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Inclui relatos sobre SM na Atenção Básica: </w:t>
            </w:r>
          </w:p>
          <w:p w14:paraId="73A8F69D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after="10" w:line="278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que fortaleçam a integração da atenção primária à saúde mental.  </w:t>
            </w:r>
          </w:p>
          <w:p w14:paraId="3409D8CD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line="280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inovadoras para o cuidado na atenção primária e desmedicalização. </w:t>
            </w:r>
          </w:p>
          <w:p w14:paraId="78CEFC5F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voltadas à redução de encaminhamentos desnecessários para serviços especializados.  </w:t>
            </w:r>
          </w:p>
          <w:p w14:paraId="37B4C8CA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de atuação das equipes multiprofissionais, incluindo processos de supervisão clínica institucional e matriciamento, com impacto positivo na qualidade do cuidado. </w:t>
            </w:r>
          </w:p>
          <w:p w14:paraId="2D87C606" w14:textId="77777777" w:rsidR="00350CE5" w:rsidRDefault="00350CE5">
            <w:pPr>
              <w:spacing w:after="8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na Atenção Psicossocial:  </w:t>
            </w:r>
          </w:p>
          <w:p w14:paraId="4CC4A973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que ampliem o acesso a serviços especializados de saúde mental e melhoria da qualidade do atendimento.  </w:t>
            </w:r>
          </w:p>
          <w:p w14:paraId="2FA56F61" w14:textId="77777777" w:rsidR="00350CE5" w:rsidRDefault="00350CE5" w:rsidP="00350CE5">
            <w:pPr>
              <w:widowControl/>
              <w:numPr>
                <w:ilvl w:val="0"/>
                <w:numId w:val="35"/>
              </w:numPr>
              <w:autoSpaceDE/>
              <w:spacing w:line="27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Parcerias intersetoriais, com resultados positivos para os usuários e a comunidade (ex: com educação, trabalho, assistência social, etc).  </w:t>
            </w:r>
          </w:p>
          <w:p w14:paraId="78AEA477" w14:textId="77777777" w:rsidR="00350CE5" w:rsidRDefault="00350CE5" w:rsidP="00350CE5">
            <w:pPr>
              <w:numPr>
                <w:ilvl w:val="0"/>
                <w:numId w:val="35"/>
              </w:numPr>
              <w:spacing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inovadoras e relevantes em Centros de Atenção Psicossocial (CAPS), em todas as suas modalidades, com foco nos resultados alcançados. </w:t>
            </w:r>
          </w:p>
          <w:p w14:paraId="5EE86D54" w14:textId="77777777" w:rsidR="00350CE5" w:rsidRDefault="00350CE5">
            <w:pPr>
              <w:spacing w:after="17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na Atenção de Urgência e Emergência:</w:t>
            </w:r>
            <w:r>
              <w:rPr>
                <w:rFonts w:ascii="Poppins Light" w:hAnsi="Poppins Light" w:cs="Poppins Light"/>
                <w:b/>
                <w:sz w:val="16"/>
                <w:szCs w:val="16"/>
              </w:rPr>
              <w:t xml:space="preserve">  </w:t>
            </w:r>
          </w:p>
          <w:p w14:paraId="15B71259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bem-sucedidas na resposta dos serviços de emergência a indivíduos em crise ou necessidade de cuidado intensivo em saúde mental, entre outros agravos associados, com destaque para o tempo de resposta e a eficácia da intervenção. </w:t>
            </w:r>
          </w:p>
          <w:p w14:paraId="2B47AA37" w14:textId="77777777" w:rsidR="00350CE5" w:rsidRDefault="00350CE5">
            <w:pPr>
              <w:spacing w:after="8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na Atenção Residencial de Caráter Transitório:  </w:t>
            </w:r>
          </w:p>
          <w:p w14:paraId="7759B733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Modelos de organização e trabalho das equipes envolvidas no cuidado em atenção residencial, com demonstração de resultados positivos na redução de reinternações e na promoção da inserção social dos residentes. </w:t>
            </w:r>
          </w:p>
          <w:p w14:paraId="47D61AB6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after="2"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que promovam efetivamente a inserção comunitária de pacientes em transição do modelo manicomial para o cuidado em liberdade. </w:t>
            </w:r>
          </w:p>
          <w:p w14:paraId="7BCB8344" w14:textId="77777777" w:rsidR="00350CE5" w:rsidRDefault="00350CE5">
            <w:pPr>
              <w:spacing w:after="8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 </w:t>
            </w: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>na Atenção Hospitalar</w:t>
            </w:r>
            <w:r>
              <w:rPr>
                <w:rFonts w:ascii="Poppins Light" w:eastAsia="Times New Roman" w:hAnsi="Poppins Light" w:cs="Poppins Light"/>
                <w:sz w:val="16"/>
                <w:szCs w:val="16"/>
              </w:rPr>
              <w:t xml:space="preserve">:  </w:t>
            </w:r>
          </w:p>
          <w:p w14:paraId="4977CF06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que apresentem melhoria no acesso e na qualidade dos serviços de saúde mental em leitos de hospitais gerais.  </w:t>
            </w:r>
          </w:p>
          <w:p w14:paraId="144DF4D2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eficazes para reduzir hospitalizações e promover cuidados baseados na comunidade, com dados que comprovem a redução de internações.  </w:t>
            </w:r>
          </w:p>
          <w:p w14:paraId="0DB5D563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bem-sucedidas de integração da atenção hospitalar com outros componentes da RAPS, demonstrando impacto na continuidade do cuidado. </w:t>
            </w:r>
          </w:p>
          <w:p w14:paraId="13C7FA2E" w14:textId="77777777" w:rsidR="00350CE5" w:rsidRDefault="00350CE5">
            <w:pPr>
              <w:spacing w:after="17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Inclui relatos  de Estratégias de Desinstitucionalização: </w:t>
            </w:r>
          </w:p>
          <w:p w14:paraId="79D56790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que promovam a transição de cuidados institucionalizados para cuidados em liberdade, baseados na comunidade, apresentando resultados concretos na redução de internações prolongadas.  </w:t>
            </w:r>
          </w:p>
          <w:p w14:paraId="0AF2E9A4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Estratégias inovadoras para promoção da independência e autodeterminação das pessoas em cuidado contínuo/crônico, em serviços residenciais, CAPS e outros. </w:t>
            </w:r>
          </w:p>
          <w:p w14:paraId="23F9E277" w14:textId="77777777" w:rsidR="00350CE5" w:rsidRDefault="00350CE5">
            <w:pPr>
              <w:spacing w:after="17" w:line="256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sz w:val="16"/>
                <w:szCs w:val="16"/>
              </w:rPr>
            </w:pPr>
            <w:r>
              <w:rPr>
                <w:rFonts w:ascii="Poppins Light" w:eastAsia="Times New Roman" w:hAnsi="Poppins Light" w:cs="Poppins Light"/>
                <w:b/>
                <w:sz w:val="16"/>
                <w:szCs w:val="16"/>
              </w:rPr>
              <w:t xml:space="preserve">de Estratégias de Reabilitação Psicossocial:  </w:t>
            </w:r>
          </w:p>
          <w:p w14:paraId="4471B750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3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Experiências bem-sucedidas na geração de renda, iniciativas culturais e ações solidárias para apoiar a reabilitação e recuperação de pessoas com transtornos mentais graves. </w:t>
            </w:r>
          </w:p>
          <w:p w14:paraId="599247DC" w14:textId="77777777" w:rsidR="00350CE5" w:rsidRDefault="00350CE5" w:rsidP="00350CE5">
            <w:pPr>
              <w:widowControl/>
              <w:numPr>
                <w:ilvl w:val="0"/>
                <w:numId w:val="36"/>
              </w:numPr>
              <w:autoSpaceDE/>
              <w:spacing w:line="271" w:lineRule="auto"/>
              <w:ind w:left="1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 xml:space="preserve">Iniciativas e estratégias inovadoras implementadas em Centros de Convivência, com impacto positivo na vida dos usuários. </w:t>
            </w:r>
          </w:p>
        </w:tc>
      </w:tr>
    </w:tbl>
    <w:p w14:paraId="15ABF8E6" w14:textId="77777777" w:rsidR="00350CE5" w:rsidRDefault="00350CE5" w:rsidP="00350CE5">
      <w:pPr>
        <w:spacing w:after="156"/>
        <w:jc w:val="both"/>
        <w:rPr>
          <w:rFonts w:ascii="Poppins Light" w:hAnsi="Poppins Light" w:cs="Poppins Light"/>
          <w:b/>
          <w:bCs/>
          <w:lang w:val="pt-BR"/>
        </w:rPr>
      </w:pPr>
    </w:p>
    <w:p w14:paraId="293443D2" w14:textId="12B82F0D" w:rsidR="003B7E5A" w:rsidRPr="00350CE5" w:rsidRDefault="003B7E5A" w:rsidP="00350CE5"/>
    <w:sectPr w:rsidR="003B7E5A" w:rsidRPr="00350CE5" w:rsidSect="00D65D7B">
      <w:headerReference w:type="default" r:id="rId14"/>
      <w:footerReference w:type="default" r:id="rId15"/>
      <w:type w:val="continuous"/>
      <w:pgSz w:w="11900" w:h="16850"/>
      <w:pgMar w:top="1701" w:right="1080" w:bottom="1440" w:left="1080" w:header="568" w:footer="4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7AF1" w14:textId="77777777" w:rsidR="004E47D7" w:rsidRDefault="004E47D7" w:rsidP="00FD68BB">
      <w:r>
        <w:separator/>
      </w:r>
    </w:p>
  </w:endnote>
  <w:endnote w:type="continuationSeparator" w:id="0">
    <w:p w14:paraId="3F1FE94D" w14:textId="77777777" w:rsidR="004E47D7" w:rsidRDefault="004E47D7" w:rsidP="00F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 Narrow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C8FB" w14:textId="77777777" w:rsidR="00350CE5" w:rsidRDefault="00350C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A910" w14:textId="77777777" w:rsidR="00350CE5" w:rsidRDefault="00350C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B489" w14:textId="77777777" w:rsidR="00350CE5" w:rsidRDefault="00350CE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B40C4" w14:textId="675BE369" w:rsidR="004E47D7" w:rsidRDefault="004E47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0C519" w14:textId="77777777" w:rsidR="004E47D7" w:rsidRDefault="004E47D7" w:rsidP="00FD68BB">
      <w:r>
        <w:separator/>
      </w:r>
    </w:p>
  </w:footnote>
  <w:footnote w:type="continuationSeparator" w:id="0">
    <w:p w14:paraId="4DFD4A43" w14:textId="77777777" w:rsidR="004E47D7" w:rsidRDefault="004E47D7" w:rsidP="00FD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666" w14:textId="77777777" w:rsidR="00350CE5" w:rsidRDefault="00350C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56BF" w14:textId="39D6616C" w:rsidR="00350CE5" w:rsidRDefault="00350CE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0643211" wp14:editId="686BABD6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53325" cy="10670570"/>
          <wp:effectExtent l="0" t="0" r="0" b="0"/>
          <wp:wrapNone/>
          <wp:docPr id="1" name="Imagem 1" descr="C:\Users\suporte\AppData\Local\Microsoft\Windows\INetCache\Content.Word\TIMBRADO COSEMS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uporte\AppData\Local\Microsoft\Windows\INetCache\Content.Word\TIMBRADO COSEMS DIGI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24C8" w14:textId="77777777" w:rsidR="00350CE5" w:rsidRDefault="00350CE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29A3" w14:textId="60E763E7" w:rsidR="004E47D7" w:rsidRDefault="006C11DE">
    <w:pPr>
      <w:pStyle w:val="Cabealho"/>
    </w:pPr>
    <w:bookmarkStart w:id="0" w:name="_GoBack"/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7F07953" wp14:editId="30FE2CF8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53325" cy="10670570"/>
          <wp:effectExtent l="0" t="0" r="0" b="0"/>
          <wp:wrapNone/>
          <wp:docPr id="11" name="Imagem 11" descr="C:\Users\suporte\AppData\Local\Microsoft\Windows\INetCache\Content.Word\TIMBRADO COSEMS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uporte\AppData\Local\Microsoft\Windows\INetCache\Content.Word\TIMBRADO COSEMS DIGI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44"/>
    <w:multiLevelType w:val="hybridMultilevel"/>
    <w:tmpl w:val="4D0C4894"/>
    <w:lvl w:ilvl="0" w:tplc="8338A27C">
      <w:start w:val="1"/>
      <w:numFmt w:val="decimal"/>
      <w:lvlText w:val="6.%1"/>
      <w:lvlJc w:val="left"/>
      <w:pPr>
        <w:ind w:left="1440" w:hanging="360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C88"/>
    <w:multiLevelType w:val="hybridMultilevel"/>
    <w:tmpl w:val="3EE2F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5E6"/>
    <w:multiLevelType w:val="hybridMultilevel"/>
    <w:tmpl w:val="3B745130"/>
    <w:lvl w:ilvl="0" w:tplc="2872E14A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542D96">
      <w:start w:val="1"/>
      <w:numFmt w:val="bullet"/>
      <w:lvlText w:val="o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EE8192">
      <w:start w:val="1"/>
      <w:numFmt w:val="bullet"/>
      <w:lvlText w:val="▪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98FCE6">
      <w:start w:val="1"/>
      <w:numFmt w:val="bullet"/>
      <w:lvlText w:val="•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B24AB6">
      <w:start w:val="1"/>
      <w:numFmt w:val="bullet"/>
      <w:lvlText w:val="o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769EE0">
      <w:start w:val="1"/>
      <w:numFmt w:val="bullet"/>
      <w:lvlText w:val="▪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C152">
      <w:start w:val="1"/>
      <w:numFmt w:val="bullet"/>
      <w:lvlText w:val="•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66ECE">
      <w:start w:val="1"/>
      <w:numFmt w:val="bullet"/>
      <w:lvlText w:val="o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B80350">
      <w:start w:val="1"/>
      <w:numFmt w:val="bullet"/>
      <w:lvlText w:val="▪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84A77"/>
    <w:multiLevelType w:val="hybridMultilevel"/>
    <w:tmpl w:val="01AA244E"/>
    <w:lvl w:ilvl="0" w:tplc="3F6C6CB4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C2D078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E7B44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066FC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CC3A24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1C359A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F4F940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E6EADA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1A1C7E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A7368"/>
    <w:multiLevelType w:val="hybridMultilevel"/>
    <w:tmpl w:val="69C051CE"/>
    <w:lvl w:ilvl="0" w:tplc="A8EE6710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C21AE0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20DA92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98B71C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B241A0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9A2334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8CC1F6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9C1F4C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634A8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0362FE"/>
    <w:multiLevelType w:val="hybridMultilevel"/>
    <w:tmpl w:val="DCD43A32"/>
    <w:lvl w:ilvl="0" w:tplc="04160017">
      <w:start w:val="1"/>
      <w:numFmt w:val="lowerLetter"/>
      <w:lvlText w:val="%1)"/>
      <w:lvlJc w:val="left"/>
      <w:pPr>
        <w:ind w:left="2224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7EA1680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2" w:tplc="7AC8EC76">
      <w:numFmt w:val="bullet"/>
      <w:lvlText w:val="•"/>
      <w:lvlJc w:val="left"/>
      <w:pPr>
        <w:ind w:left="3977" w:hanging="360"/>
      </w:pPr>
      <w:rPr>
        <w:rFonts w:hint="default"/>
        <w:lang w:val="pt-PT" w:eastAsia="en-US" w:bidi="ar-SA"/>
      </w:rPr>
    </w:lvl>
    <w:lvl w:ilvl="3" w:tplc="2608444A">
      <w:numFmt w:val="bullet"/>
      <w:lvlText w:val="•"/>
      <w:lvlJc w:val="left"/>
      <w:pPr>
        <w:ind w:left="4855" w:hanging="360"/>
      </w:pPr>
      <w:rPr>
        <w:rFonts w:hint="default"/>
        <w:lang w:val="pt-PT" w:eastAsia="en-US" w:bidi="ar-SA"/>
      </w:rPr>
    </w:lvl>
    <w:lvl w:ilvl="4" w:tplc="209A0D4E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676A8F2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6" w:tplc="EE7EE76C">
      <w:numFmt w:val="bullet"/>
      <w:lvlText w:val="•"/>
      <w:lvlJc w:val="left"/>
      <w:pPr>
        <w:ind w:left="7491" w:hanging="360"/>
      </w:pPr>
      <w:rPr>
        <w:rFonts w:hint="default"/>
        <w:lang w:val="pt-PT" w:eastAsia="en-US" w:bidi="ar-SA"/>
      </w:rPr>
    </w:lvl>
    <w:lvl w:ilvl="7" w:tplc="9F3A1BB8">
      <w:numFmt w:val="bullet"/>
      <w:lvlText w:val="•"/>
      <w:lvlJc w:val="left"/>
      <w:pPr>
        <w:ind w:left="8369" w:hanging="360"/>
      </w:pPr>
      <w:rPr>
        <w:rFonts w:hint="default"/>
        <w:lang w:val="pt-PT" w:eastAsia="en-US" w:bidi="ar-SA"/>
      </w:rPr>
    </w:lvl>
    <w:lvl w:ilvl="8" w:tplc="BB16CDA2">
      <w:numFmt w:val="bullet"/>
      <w:lvlText w:val="•"/>
      <w:lvlJc w:val="left"/>
      <w:pPr>
        <w:ind w:left="924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EFA7377"/>
    <w:multiLevelType w:val="hybridMultilevel"/>
    <w:tmpl w:val="6E229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E561E"/>
    <w:multiLevelType w:val="hybridMultilevel"/>
    <w:tmpl w:val="FC8E5FD4"/>
    <w:lvl w:ilvl="0" w:tplc="B4804A4C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A2975E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AED274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E4F9C2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08CA4E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38D674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123CA2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0CA14A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23D76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795717"/>
    <w:multiLevelType w:val="hybridMultilevel"/>
    <w:tmpl w:val="87D44AFA"/>
    <w:lvl w:ilvl="0" w:tplc="C21E9B6E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C8CB72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0F01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D4B034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76FE1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E61448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08711E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D61D6E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C6B5D4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D4992"/>
    <w:multiLevelType w:val="hybridMultilevel"/>
    <w:tmpl w:val="5E36C516"/>
    <w:lvl w:ilvl="0" w:tplc="5AA28FCA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12A184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B8E15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A21D8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E8BA1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BC0D2C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983A6A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87A8E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0062C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5C50A6"/>
    <w:multiLevelType w:val="hybridMultilevel"/>
    <w:tmpl w:val="5A54AC58"/>
    <w:lvl w:ilvl="0" w:tplc="493AB27E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BA0FB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B447D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47CD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078B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5CC67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04F3A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E041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743DD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92E23"/>
    <w:multiLevelType w:val="hybridMultilevel"/>
    <w:tmpl w:val="651EA856"/>
    <w:lvl w:ilvl="0" w:tplc="857A03E6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C8D52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824462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B6D78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702BC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58FD1A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3C5FF2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9C4CF6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96ED08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726320"/>
    <w:multiLevelType w:val="hybridMultilevel"/>
    <w:tmpl w:val="2266F8DC"/>
    <w:lvl w:ilvl="0" w:tplc="9460C752">
      <w:start w:val="1"/>
      <w:numFmt w:val="bullet"/>
      <w:lvlText w:val="●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D48818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90809E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48570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CA83A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A6669C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8395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D64F8C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EE6992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693CC7"/>
    <w:multiLevelType w:val="hybridMultilevel"/>
    <w:tmpl w:val="F68AA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D3F92"/>
    <w:multiLevelType w:val="hybridMultilevel"/>
    <w:tmpl w:val="ED6AA456"/>
    <w:lvl w:ilvl="0" w:tplc="E04C87B4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743CA6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85866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EE18E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8484D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925156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C8B2E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12F78C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2659C8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22C89"/>
    <w:multiLevelType w:val="hybridMultilevel"/>
    <w:tmpl w:val="A04C36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F1963"/>
    <w:multiLevelType w:val="hybridMultilevel"/>
    <w:tmpl w:val="3C423D38"/>
    <w:lvl w:ilvl="0" w:tplc="1690F7B0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222590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E21B10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DE882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2AF5B0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4A655A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C6920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7883B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78B07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463F1A"/>
    <w:multiLevelType w:val="hybridMultilevel"/>
    <w:tmpl w:val="1B307204"/>
    <w:lvl w:ilvl="0" w:tplc="710C34D6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1E9306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4E34E4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AED18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CA8D68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BEF0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26575A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8B0D8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58640C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0C7F93"/>
    <w:multiLevelType w:val="hybridMultilevel"/>
    <w:tmpl w:val="0060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1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E"/>
    <w:rsid w:val="000009C3"/>
    <w:rsid w:val="000B5EF0"/>
    <w:rsid w:val="000D2A08"/>
    <w:rsid w:val="000E42BC"/>
    <w:rsid w:val="000E6358"/>
    <w:rsid w:val="000F21E9"/>
    <w:rsid w:val="00111D73"/>
    <w:rsid w:val="001452C7"/>
    <w:rsid w:val="001477AC"/>
    <w:rsid w:val="00196014"/>
    <w:rsid w:val="001E6EDB"/>
    <w:rsid w:val="00207C19"/>
    <w:rsid w:val="0024620B"/>
    <w:rsid w:val="00270D34"/>
    <w:rsid w:val="002839A0"/>
    <w:rsid w:val="002C08FC"/>
    <w:rsid w:val="00312893"/>
    <w:rsid w:val="00313E40"/>
    <w:rsid w:val="00322AF8"/>
    <w:rsid w:val="00350CE5"/>
    <w:rsid w:val="003570A3"/>
    <w:rsid w:val="00361A7F"/>
    <w:rsid w:val="00366CB7"/>
    <w:rsid w:val="00385194"/>
    <w:rsid w:val="003B0FFD"/>
    <w:rsid w:val="003B7E5A"/>
    <w:rsid w:val="003C6899"/>
    <w:rsid w:val="00401DF2"/>
    <w:rsid w:val="00412A1A"/>
    <w:rsid w:val="004137EF"/>
    <w:rsid w:val="0043027F"/>
    <w:rsid w:val="00445021"/>
    <w:rsid w:val="004473D8"/>
    <w:rsid w:val="00454DF8"/>
    <w:rsid w:val="00493E6D"/>
    <w:rsid w:val="00495EEA"/>
    <w:rsid w:val="00496229"/>
    <w:rsid w:val="004E47D7"/>
    <w:rsid w:val="004F2150"/>
    <w:rsid w:val="004F31E3"/>
    <w:rsid w:val="004F6CE1"/>
    <w:rsid w:val="00533265"/>
    <w:rsid w:val="00566C13"/>
    <w:rsid w:val="00583834"/>
    <w:rsid w:val="005A01A3"/>
    <w:rsid w:val="005C69F1"/>
    <w:rsid w:val="0065339F"/>
    <w:rsid w:val="0067414C"/>
    <w:rsid w:val="0068623C"/>
    <w:rsid w:val="00692FC8"/>
    <w:rsid w:val="006C11DE"/>
    <w:rsid w:val="006D29A9"/>
    <w:rsid w:val="006D345D"/>
    <w:rsid w:val="00723FEF"/>
    <w:rsid w:val="00752AA4"/>
    <w:rsid w:val="00775730"/>
    <w:rsid w:val="007B1420"/>
    <w:rsid w:val="007D5B47"/>
    <w:rsid w:val="007E238F"/>
    <w:rsid w:val="007E4DEE"/>
    <w:rsid w:val="00841F6B"/>
    <w:rsid w:val="00862C02"/>
    <w:rsid w:val="008856E4"/>
    <w:rsid w:val="008B638B"/>
    <w:rsid w:val="008C6D20"/>
    <w:rsid w:val="008D5503"/>
    <w:rsid w:val="008E22FE"/>
    <w:rsid w:val="008F553D"/>
    <w:rsid w:val="00911911"/>
    <w:rsid w:val="009140AA"/>
    <w:rsid w:val="00951CC6"/>
    <w:rsid w:val="00952B68"/>
    <w:rsid w:val="00956F9F"/>
    <w:rsid w:val="00976D20"/>
    <w:rsid w:val="00977894"/>
    <w:rsid w:val="00977A95"/>
    <w:rsid w:val="009A4745"/>
    <w:rsid w:val="009A6704"/>
    <w:rsid w:val="009B4EDC"/>
    <w:rsid w:val="009D04D4"/>
    <w:rsid w:val="009F1F51"/>
    <w:rsid w:val="00A010CE"/>
    <w:rsid w:val="00A01502"/>
    <w:rsid w:val="00A06F28"/>
    <w:rsid w:val="00A27899"/>
    <w:rsid w:val="00A43FE6"/>
    <w:rsid w:val="00A45AE4"/>
    <w:rsid w:val="00A9481C"/>
    <w:rsid w:val="00AD6A9D"/>
    <w:rsid w:val="00B337F5"/>
    <w:rsid w:val="00B713A6"/>
    <w:rsid w:val="00B724D9"/>
    <w:rsid w:val="00BD50B6"/>
    <w:rsid w:val="00BE706D"/>
    <w:rsid w:val="00BF2E2A"/>
    <w:rsid w:val="00BF3F4A"/>
    <w:rsid w:val="00C0428E"/>
    <w:rsid w:val="00C262B0"/>
    <w:rsid w:val="00C3398A"/>
    <w:rsid w:val="00C94CAE"/>
    <w:rsid w:val="00CB473A"/>
    <w:rsid w:val="00CB65D0"/>
    <w:rsid w:val="00CD166D"/>
    <w:rsid w:val="00D30844"/>
    <w:rsid w:val="00D33DBA"/>
    <w:rsid w:val="00D3618A"/>
    <w:rsid w:val="00D4235A"/>
    <w:rsid w:val="00D602D9"/>
    <w:rsid w:val="00D65D7B"/>
    <w:rsid w:val="00D74300"/>
    <w:rsid w:val="00D75034"/>
    <w:rsid w:val="00D80DE0"/>
    <w:rsid w:val="00D9023E"/>
    <w:rsid w:val="00D94648"/>
    <w:rsid w:val="00DB3E75"/>
    <w:rsid w:val="00DC0925"/>
    <w:rsid w:val="00DD4365"/>
    <w:rsid w:val="00E0419C"/>
    <w:rsid w:val="00E17756"/>
    <w:rsid w:val="00E34622"/>
    <w:rsid w:val="00E41050"/>
    <w:rsid w:val="00E52C57"/>
    <w:rsid w:val="00E87CF4"/>
    <w:rsid w:val="00E978EB"/>
    <w:rsid w:val="00EB7B13"/>
    <w:rsid w:val="00ED5305"/>
    <w:rsid w:val="00F3287F"/>
    <w:rsid w:val="00F3348B"/>
    <w:rsid w:val="00F72393"/>
    <w:rsid w:val="00FA572A"/>
    <w:rsid w:val="00FA789D"/>
    <w:rsid w:val="00FC38BE"/>
    <w:rsid w:val="00FD2787"/>
    <w:rsid w:val="00FD68BB"/>
    <w:rsid w:val="00FF36F4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94220CD"/>
  <w15:docId w15:val="{9F2D6D85-6CF3-443D-AAE0-5F5D6FE3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5E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9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iberation Sans Narrow" w:eastAsia="Liberation Sans Narrow" w:hAnsi="Liberation Sans Narrow" w:cs="Liberation Sans Narrow"/>
      <w:b/>
      <w:bCs/>
    </w:rPr>
  </w:style>
  <w:style w:type="paragraph" w:styleId="PargrafodaLista">
    <w:name w:val="List Paragraph"/>
    <w:basedOn w:val="Normal"/>
    <w:uiPriority w:val="1"/>
    <w:qFormat/>
    <w:pPr>
      <w:ind w:left="1864" w:hanging="360"/>
      <w:jc w:val="both"/>
    </w:pPr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D16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66D"/>
    <w:rPr>
      <w:rFonts w:ascii="Tahoma" w:eastAsia="Arial" w:hAnsi="Tahoma" w:cs="Tahoma"/>
      <w:sz w:val="16"/>
      <w:szCs w:val="16"/>
      <w:lang w:val="pt-PT"/>
    </w:rPr>
  </w:style>
  <w:style w:type="table" w:styleId="SombreamentoMdio1-nfase5">
    <w:name w:val="Medium Shading 1 Accent 5"/>
    <w:basedOn w:val="Tabelanormal"/>
    <w:uiPriority w:val="63"/>
    <w:rsid w:val="00CB65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FF36F4"/>
    <w:rPr>
      <w:color w:val="0000FF"/>
      <w:u w:val="single"/>
    </w:rPr>
  </w:style>
  <w:style w:type="table" w:styleId="SombreamentoClaro-nfase5">
    <w:name w:val="Light Shading Accent 5"/>
    <w:basedOn w:val="Tabelanormal"/>
    <w:uiPriority w:val="60"/>
    <w:rsid w:val="00FF36F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6D29A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D6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8B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FD6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D68BB"/>
    <w:rPr>
      <w:rFonts w:ascii="Arial" w:eastAsia="Arial" w:hAnsi="Arial" w:cs="Arial"/>
      <w:lang w:val="pt-PT"/>
    </w:rPr>
  </w:style>
  <w:style w:type="paragraph" w:customStyle="1" w:styleId="Default">
    <w:name w:val="Default"/>
    <w:rsid w:val="002C08FC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pt-BR" w:eastAsia="pt-BR"/>
    </w:rPr>
  </w:style>
  <w:style w:type="table" w:styleId="TabeladeLista2-nfase1">
    <w:name w:val="List Table 2 Accent 1"/>
    <w:basedOn w:val="Tabelanormal"/>
    <w:uiPriority w:val="47"/>
    <w:rsid w:val="000D2A0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nfase1">
    <w:name w:val="List Table 4 Accent 1"/>
    <w:basedOn w:val="Tabelanormal"/>
    <w:uiPriority w:val="49"/>
    <w:rsid w:val="000D2A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Clara">
    <w:name w:val="Grid Table Light"/>
    <w:basedOn w:val="Tabelanormal"/>
    <w:uiPriority w:val="40"/>
    <w:rsid w:val="00ED53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Lista5Escura-nfase1">
    <w:name w:val="List Table 5 Dark Accent 1"/>
    <w:basedOn w:val="Tabelanormal"/>
    <w:uiPriority w:val="50"/>
    <w:rsid w:val="00ED530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Grid">
    <w:name w:val="TableGrid"/>
    <w:rsid w:val="00ED530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-nfase1">
    <w:name w:val="Grid Table 4 Accent 1"/>
    <w:basedOn w:val="Tabelanormal"/>
    <w:uiPriority w:val="49"/>
    <w:rsid w:val="00A01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1">
    <w:name w:val="Grid Table 2 Accent 1"/>
    <w:basedOn w:val="Tabelanormal"/>
    <w:uiPriority w:val="47"/>
    <w:rsid w:val="00A010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6">
    <w:name w:val="Grid Table 2 Accent 6"/>
    <w:basedOn w:val="Tabelanormal"/>
    <w:uiPriority w:val="47"/>
    <w:rsid w:val="00D33DB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D33DB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ontepargpadro"/>
    <w:uiPriority w:val="99"/>
    <w:semiHidden/>
    <w:unhideWhenUsed/>
    <w:rsid w:val="008D5503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366C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D50B6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5E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deLista3-nfase1">
    <w:name w:val="List Table 3 Accent 1"/>
    <w:basedOn w:val="Tabelanormal"/>
    <w:uiPriority w:val="48"/>
    <w:rsid w:val="006C11D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EE16-520C-4857-8513-EB2A187A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3163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2</cp:revision>
  <cp:lastPrinted>2025-04-28T14:24:00Z</cp:lastPrinted>
  <dcterms:created xsi:type="dcterms:W3CDTF">2026-02-27T17:57:00Z</dcterms:created>
  <dcterms:modified xsi:type="dcterms:W3CDTF">2026-02-27T17:57:00Z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2020-02-17T00:00:00Z</vt:filetime>
  </property>
</Properties>
</file>